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1AD" w:rsidRDefault="00FB11AD" w:rsidP="00FB11AD">
      <w:pPr>
        <w:spacing w:after="1" w:line="220" w:lineRule="auto"/>
        <w:ind w:firstLine="540"/>
        <w:jc w:val="both"/>
      </w:pPr>
    </w:p>
    <w:p w:rsidR="00FB11AD" w:rsidRDefault="00FB11AD" w:rsidP="00FB11AD">
      <w:pPr>
        <w:spacing w:after="1" w:line="220" w:lineRule="auto"/>
        <w:ind w:firstLine="540"/>
        <w:jc w:val="both"/>
      </w:pPr>
      <w:r>
        <w:rPr>
          <w:rFonts w:ascii="Calibri" w:hAnsi="Calibri" w:cs="Calibri"/>
          <w:b/>
        </w:rPr>
        <w:t xml:space="preserve">С </w:t>
      </w:r>
      <w:proofErr w:type="gramStart"/>
      <w:r>
        <w:rPr>
          <w:rFonts w:ascii="Calibri" w:hAnsi="Calibri" w:cs="Calibri"/>
          <w:b/>
        </w:rPr>
        <w:t xml:space="preserve">25.07.2024  </w:t>
      </w:r>
      <w:bookmarkStart w:id="0" w:name="_GoBack"/>
      <w:r>
        <w:rPr>
          <w:rFonts w:ascii="Calibri" w:hAnsi="Calibri" w:cs="Calibri"/>
          <w:b/>
        </w:rPr>
        <w:t>изменен</w:t>
      </w:r>
      <w:proofErr w:type="gramEnd"/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механизм борьбы с хищением денежных средств со счетов </w:t>
      </w:r>
      <w:r>
        <w:rPr>
          <w:rFonts w:ascii="Calibri" w:hAnsi="Calibri" w:cs="Calibri"/>
          <w:b/>
        </w:rPr>
        <w:t xml:space="preserve"> </w:t>
      </w:r>
      <w:bookmarkEnd w:id="0"/>
    </w:p>
    <w:p w:rsidR="00FB11AD" w:rsidRDefault="00FB11AD" w:rsidP="00FB11AD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Изменения внесены в </w:t>
      </w:r>
      <w:hyperlink r:id="rId4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 национальной платежной системе.</w:t>
      </w:r>
    </w:p>
    <w:p w:rsidR="00FB11AD" w:rsidRDefault="00FB11AD" w:rsidP="00FB11AD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частности, установлено, что теперь оператор по переводу денежных средств (далее - оператор) </w:t>
      </w:r>
      <w:hyperlink r:id="rId5">
        <w:r>
          <w:rPr>
            <w:rFonts w:ascii="Calibri" w:hAnsi="Calibri" w:cs="Calibri"/>
            <w:color w:val="0000FF"/>
          </w:rPr>
          <w:t>обязан</w:t>
        </w:r>
      </w:hyperlink>
      <w:r>
        <w:rPr>
          <w:rFonts w:ascii="Calibri" w:hAnsi="Calibri" w:cs="Calibri"/>
        </w:rPr>
        <w:t xml:space="preserve"> проверять наличие признаков перевода денежных средств без добровольного согласия клиента до момента списания денежных средств клиента (в случае совершения операции с использованием платежных карт, перевода электронных денежных средств или перевода денежных средств с использованием СБП) либо при приеме к исполнению распоряжения клиента (при переводе денежных средств в иных случаях). Установлен новый </w:t>
      </w:r>
      <w:hyperlink r:id="rId6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таких признаков.</w:t>
      </w:r>
    </w:p>
    <w:p w:rsidR="00FB11AD" w:rsidRDefault="00FB11AD" w:rsidP="00FB11AD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При выявлении операции, соответствующей признакам перевода денежных средств без добровольного согласия клиента (за исключением операции с использованием платежных карт, перевода электронных денежных средств или перевода денежных средств с использованием СБП), прием к исполнению распоряжения клиента приостанавливается на 2 дня. При выявлении соответствующих операции с использованием платежных карт, перевода электронных денежных средств или перевода денежных средств с использованием СБП оператор отказывает в совершении соответствующей операции (перевода).</w:t>
      </w:r>
    </w:p>
    <w:p w:rsidR="00FB11AD" w:rsidRDefault="00FB11AD" w:rsidP="00FB11AD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После выполнения указанных выше действий оператор </w:t>
      </w:r>
      <w:hyperlink r:id="rId7">
        <w:r>
          <w:rPr>
            <w:rFonts w:ascii="Calibri" w:hAnsi="Calibri" w:cs="Calibri"/>
            <w:color w:val="0000FF"/>
          </w:rPr>
          <w:t>обязан</w:t>
        </w:r>
      </w:hyperlink>
      <w:r>
        <w:rPr>
          <w:rFonts w:ascii="Calibri" w:hAnsi="Calibri" w:cs="Calibri"/>
        </w:rPr>
        <w:t xml:space="preserve"> незамедлительно в порядке, установленном договором, предоставить клиенту информацию:</w:t>
      </w:r>
    </w:p>
    <w:p w:rsidR="00FB11AD" w:rsidRDefault="00FB11AD" w:rsidP="00FB11AD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о выполнении соответствующих действий;</w:t>
      </w:r>
    </w:p>
    <w:p w:rsidR="00FB11AD" w:rsidRDefault="00FB11AD" w:rsidP="00FB11AD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о рекомендациях по снижению рисков повторного перевода денежных средств без добровольного согласия клиента;</w:t>
      </w:r>
    </w:p>
    <w:p w:rsidR="00FB11AD" w:rsidRDefault="00FB11AD" w:rsidP="00FB11AD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о возможности клиента подтвердить распоряжение не позднее одного дня, следующего за днем приостановления приема к исполнению указанного распоряжения, или о возможности повторной операции.</w:t>
      </w:r>
    </w:p>
    <w:p w:rsidR="00FB11AD" w:rsidRDefault="00FB11AD" w:rsidP="00FB11AD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Оператор вправе в дополнение к указанному выше подтверждению запросить у клиента информацию, что перевод денежных средств не является переводом без его добровольного согласия, и (или) направить клиенту информацию о необходимости совершить повторную операцию способом, который предусмотрен договором с клиентом, и который указан оператором.</w:t>
      </w:r>
    </w:p>
    <w:p w:rsidR="00FB11AD" w:rsidRDefault="00FB11AD" w:rsidP="00FB11AD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По общему </w:t>
      </w:r>
      <w:hyperlink r:id="rId8">
        <w:r>
          <w:rPr>
            <w:rFonts w:ascii="Calibri" w:hAnsi="Calibri" w:cs="Calibri"/>
            <w:color w:val="0000FF"/>
          </w:rPr>
          <w:t>правилу</w:t>
        </w:r>
      </w:hyperlink>
      <w:r>
        <w:rPr>
          <w:rFonts w:ascii="Calibri" w:hAnsi="Calibri" w:cs="Calibri"/>
        </w:rPr>
        <w:t xml:space="preserve"> при получении от клиента подтверждения распоряжения или осуществлении повторной операции оператор обязан незамедлительно принять к исполнению подтвержденное распоряжение или совершить повторную операцию при отсутствии иных установленных законодательством РФ оснований не принимать распоряжение клиента к исполнению.</w:t>
      </w:r>
    </w:p>
    <w:p w:rsidR="00FB11AD" w:rsidRDefault="00FB11AD" w:rsidP="00FB11AD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Оператор </w:t>
      </w:r>
      <w:hyperlink r:id="rId9">
        <w:r>
          <w:rPr>
            <w:rFonts w:ascii="Calibri" w:hAnsi="Calibri" w:cs="Calibri"/>
            <w:color w:val="0000FF"/>
          </w:rPr>
          <w:t>не несет</w:t>
        </w:r>
      </w:hyperlink>
      <w:r>
        <w:rPr>
          <w:rFonts w:ascii="Calibri" w:hAnsi="Calibri" w:cs="Calibri"/>
        </w:rPr>
        <w:t xml:space="preserve"> ответственности перед клиентом за убытки, возникшие в результате надлежащего исполнения установленных требований.</w:t>
      </w:r>
    </w:p>
    <w:p w:rsidR="00FB11AD" w:rsidRDefault="00FB11AD" w:rsidP="00FB11AD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Указанные положения </w:t>
      </w:r>
      <w:hyperlink r:id="rId10">
        <w:r>
          <w:rPr>
            <w:rFonts w:ascii="Calibri" w:hAnsi="Calibri" w:cs="Calibri"/>
            <w:color w:val="0000FF"/>
          </w:rPr>
          <w:t>не распространяются</w:t>
        </w:r>
      </w:hyperlink>
      <w:r>
        <w:rPr>
          <w:rFonts w:ascii="Calibri" w:hAnsi="Calibri" w:cs="Calibri"/>
        </w:rPr>
        <w:t xml:space="preserve"> на случаи перевода заработной платы и (или) иных доходов, в отношении которых </w:t>
      </w:r>
      <w:hyperlink r:id="rId11">
        <w:r>
          <w:rPr>
            <w:rFonts w:ascii="Calibri" w:hAnsi="Calibri" w:cs="Calibri"/>
            <w:color w:val="0000FF"/>
          </w:rPr>
          <w:t>статьей 99</w:t>
        </w:r>
      </w:hyperlink>
      <w:r>
        <w:rPr>
          <w:rFonts w:ascii="Calibri" w:hAnsi="Calibri" w:cs="Calibri"/>
        </w:rPr>
        <w:t xml:space="preserve"> Закона об исполнительном производстве установлены ограничения размеров удержания, а также доходов, на которые в соответствии со </w:t>
      </w:r>
      <w:hyperlink r:id="rId12">
        <w:r>
          <w:rPr>
            <w:rFonts w:ascii="Calibri" w:hAnsi="Calibri" w:cs="Calibri"/>
            <w:color w:val="0000FF"/>
          </w:rPr>
          <w:t>статьей 101</w:t>
        </w:r>
      </w:hyperlink>
      <w:r>
        <w:rPr>
          <w:rFonts w:ascii="Calibri" w:hAnsi="Calibri" w:cs="Calibri"/>
        </w:rPr>
        <w:t xml:space="preserve"> Закона об исполнительном производстве не может быть обращено взыскание.</w:t>
      </w:r>
    </w:p>
    <w:p w:rsidR="00FB11AD" w:rsidRDefault="00FB11AD" w:rsidP="00FB11AD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Также изменения внесены в </w:t>
      </w:r>
      <w:hyperlink r:id="rId13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использования электронных средств платежа.</w:t>
      </w:r>
    </w:p>
    <w:p w:rsidR="00FB11AD" w:rsidRDefault="00FB11AD" w:rsidP="00FB11AD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Банк России </w:t>
      </w:r>
      <w:hyperlink r:id="rId14">
        <w:r>
          <w:rPr>
            <w:rFonts w:ascii="Calibri" w:hAnsi="Calibri" w:cs="Calibri"/>
            <w:color w:val="0000FF"/>
          </w:rPr>
          <w:t>предоставляет</w:t>
        </w:r>
      </w:hyperlink>
      <w:r>
        <w:rPr>
          <w:rFonts w:ascii="Calibri" w:hAnsi="Calibri" w:cs="Calibri"/>
        </w:rPr>
        <w:t xml:space="preserve"> информацию обо всех случаях и (или) попытках переводов денежных средств без добровольного согласия клиента операторам по переводу денежных средств, операторам платежных систем, операторам услуг платежной инфраструктуры, операторам электронных платформ, а также </w:t>
      </w:r>
      <w:hyperlink r:id="rId15">
        <w:r>
          <w:rPr>
            <w:rFonts w:ascii="Calibri" w:hAnsi="Calibri" w:cs="Calibri"/>
            <w:color w:val="0000FF"/>
          </w:rPr>
          <w:t>вправе</w:t>
        </w:r>
      </w:hyperlink>
      <w:r>
        <w:rPr>
          <w:rFonts w:ascii="Calibri" w:hAnsi="Calibri" w:cs="Calibri"/>
        </w:rPr>
        <w:t xml:space="preserve"> запрашивать у указанных операторов информацию о переводах денежных средств, связанных с переводами денежных средств без добровольного согласия клиента, в отношении которых от МВД России получены сведения о совершенных противоправных действиях.</w:t>
      </w:r>
    </w:p>
    <w:p w:rsidR="00FB11AD" w:rsidRDefault="00FB11AD" w:rsidP="00FB11AD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 xml:space="preserve">Установлены сроки и уточнен порядок возмещения клиенту суммы операции, совершенной без его добровольного согласия, а также установлен </w:t>
      </w:r>
      <w:hyperlink r:id="rId16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подачи клиентом оператора по переводу денежных средств в Банк России заявления об исключении сведений, относящихся к клиенту или его электронному средству платежа, из базы данных о случаях и попытках осуществления переводов денежных средств без добровольного согласия клиента.</w:t>
      </w:r>
    </w:p>
    <w:p w:rsidR="00FB11AD" w:rsidRDefault="00FB11AD" w:rsidP="00FB11AD">
      <w:pPr>
        <w:spacing w:before="220" w:after="1" w:line="220" w:lineRule="auto"/>
        <w:ind w:left="540"/>
        <w:jc w:val="both"/>
      </w:pPr>
      <w:r>
        <w:rPr>
          <w:rFonts w:ascii="Calibri" w:hAnsi="Calibri" w:cs="Calibri"/>
        </w:rPr>
        <w:t xml:space="preserve">(Федеральный </w:t>
      </w:r>
      <w:hyperlink r:id="rId17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24.07.2023 N 369-ФЗ; Указания Банка России от 01.04.2024 N 6708-У и от 13.06.2024 </w:t>
      </w:r>
      <w:hyperlink r:id="rId18">
        <w:r>
          <w:rPr>
            <w:rFonts w:ascii="Calibri" w:hAnsi="Calibri" w:cs="Calibri"/>
            <w:color w:val="0000FF"/>
          </w:rPr>
          <w:t>N 6748-У</w:t>
        </w:r>
      </w:hyperlink>
      <w:r>
        <w:rPr>
          <w:rFonts w:ascii="Calibri" w:hAnsi="Calibri" w:cs="Calibri"/>
        </w:rPr>
        <w:t xml:space="preserve">; </w:t>
      </w:r>
      <w:hyperlink r:id="rId19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Банка России от 27.06.2024 N ОД-1027; Методические </w:t>
      </w:r>
      <w:hyperlink r:id="rId20">
        <w:r>
          <w:rPr>
            <w:rFonts w:ascii="Calibri" w:hAnsi="Calibri" w:cs="Calibri"/>
            <w:color w:val="0000FF"/>
          </w:rPr>
          <w:t>рекомендации</w:t>
        </w:r>
      </w:hyperlink>
      <w:r>
        <w:rPr>
          <w:rFonts w:ascii="Calibri" w:hAnsi="Calibri" w:cs="Calibri"/>
        </w:rPr>
        <w:t xml:space="preserve"> (утв. Банком России 28.02.2024 N 3-МР))</w:t>
      </w:r>
    </w:p>
    <w:sectPr w:rsidR="00FB1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B4"/>
    <w:rsid w:val="0020129E"/>
    <w:rsid w:val="00B96AB4"/>
    <w:rsid w:val="00FB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33018-D2E7-4A59-81CC-A13F675A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5139&amp;dst=644" TargetMode="External"/><Relationship Id="rId13" Type="http://schemas.openxmlformats.org/officeDocument/2006/relationships/hyperlink" Target="https://login.consultant.ru/link/?req=doc&amp;base=LAW&amp;n=455139&amp;dst=100127" TargetMode="External"/><Relationship Id="rId18" Type="http://schemas.openxmlformats.org/officeDocument/2006/relationships/hyperlink" Target="https://login.consultant.ru/link/?req=doc&amp;base=LAW&amp;n=480956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55139&amp;dst=639" TargetMode="External"/><Relationship Id="rId12" Type="http://schemas.openxmlformats.org/officeDocument/2006/relationships/hyperlink" Target="https://login.consultant.ru/link/?req=doc&amp;base=LAW&amp;n=466792&amp;dst=100797" TargetMode="External"/><Relationship Id="rId17" Type="http://schemas.openxmlformats.org/officeDocument/2006/relationships/hyperlink" Target="https://login.consultant.ru/link/?req=doc&amp;base=LAW&amp;n=45274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0956&amp;dst=100009" TargetMode="External"/><Relationship Id="rId20" Type="http://schemas.openxmlformats.org/officeDocument/2006/relationships/hyperlink" Target="https://login.consultant.ru/link/?req=doc&amp;base=LAW&amp;n=47203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572&amp;dst=100010" TargetMode="External"/><Relationship Id="rId11" Type="http://schemas.openxmlformats.org/officeDocument/2006/relationships/hyperlink" Target="https://login.consultant.ru/link/?req=doc&amp;base=LAW&amp;n=466792&amp;dst=100790" TargetMode="External"/><Relationship Id="rId5" Type="http://schemas.openxmlformats.org/officeDocument/2006/relationships/hyperlink" Target="https://login.consultant.ru/link/?req=doc&amp;base=LAW&amp;n=455139&amp;dst=631" TargetMode="External"/><Relationship Id="rId15" Type="http://schemas.openxmlformats.org/officeDocument/2006/relationships/hyperlink" Target="https://login.consultant.ru/link/?req=doc&amp;base=LAW&amp;n=455139&amp;dst=674" TargetMode="External"/><Relationship Id="rId10" Type="http://schemas.openxmlformats.org/officeDocument/2006/relationships/hyperlink" Target="https://login.consultant.ru/link/?req=doc&amp;base=LAW&amp;n=455139&amp;dst=651" TargetMode="External"/><Relationship Id="rId19" Type="http://schemas.openxmlformats.org/officeDocument/2006/relationships/hyperlink" Target="https://login.consultant.ru/link/?req=doc&amp;base=LAW&amp;n=480572" TargetMode="External"/><Relationship Id="rId4" Type="http://schemas.openxmlformats.org/officeDocument/2006/relationships/hyperlink" Target="https://login.consultant.ru/link/?req=doc&amp;base=LAW&amp;n=455139" TargetMode="External"/><Relationship Id="rId9" Type="http://schemas.openxmlformats.org/officeDocument/2006/relationships/hyperlink" Target="https://login.consultant.ru/link/?req=doc&amp;base=LAW&amp;n=455139&amp;dst=650" TargetMode="External"/><Relationship Id="rId14" Type="http://schemas.openxmlformats.org/officeDocument/2006/relationships/hyperlink" Target="https://login.consultant.ru/link/?req=doc&amp;base=LAW&amp;n=455139&amp;dst=67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831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Лялеко Наталья Васильевна</dc:creator>
  <cp:keywords/>
  <dc:description/>
  <cp:lastModifiedBy>Лялеко Наталья Васильевна</cp:lastModifiedBy>
  <cp:revision>2</cp:revision>
  <dcterms:created xsi:type="dcterms:W3CDTF">2024-08-09T08:17:00Z</dcterms:created>
  <dcterms:modified xsi:type="dcterms:W3CDTF">2024-08-09T08:19:00Z</dcterms:modified>
</cp:coreProperties>
</file>